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34D" w:rsidRPr="00F24844" w:rsidRDefault="00F012C1" w:rsidP="002E3E3E">
      <w:pPr>
        <w:pStyle w:val="aa"/>
        <w:spacing w:before="240" w:after="240"/>
        <w:ind w:left="420"/>
      </w:pPr>
      <w:r>
        <w:t>Supplementary</w:t>
      </w:r>
      <w:r w:rsidR="00D8334D" w:rsidRPr="00F24844">
        <w:t xml:space="preserve"> Table 3. Mendelian Randomization estimates for causal effects of circulating AMH level</w:t>
      </w:r>
      <w:r w:rsidR="002E3E3E">
        <w:t>s on ischemic stroke in women ≥</w:t>
      </w:r>
      <w:r w:rsidR="00D8334D" w:rsidRPr="00F24844">
        <w:t>50 years at diagnosis.</w:t>
      </w:r>
    </w:p>
    <w:tbl>
      <w:tblPr>
        <w:tblStyle w:val="a4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8"/>
        <w:gridCol w:w="2427"/>
        <w:gridCol w:w="1477"/>
        <w:gridCol w:w="1214"/>
        <w:gridCol w:w="993"/>
      </w:tblGrid>
      <w:tr w:rsidR="00D8334D" w:rsidRPr="00F24844" w:rsidTr="00FF502B">
        <w:trPr>
          <w:trHeight w:val="446"/>
          <w:jc w:val="center"/>
        </w:trPr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  <w:rPr>
                <w:b/>
              </w:rPr>
            </w:pPr>
            <w:r w:rsidRPr="00F24844">
              <w:rPr>
                <w:b/>
              </w:rPr>
              <w:t>Outcome</w:t>
            </w:r>
          </w:p>
        </w:tc>
        <w:tc>
          <w:tcPr>
            <w:tcW w:w="2427" w:type="dxa"/>
            <w:tcBorders>
              <w:top w:val="single" w:sz="4" w:space="0" w:color="auto"/>
              <w:bottom w:val="single" w:sz="4" w:space="0" w:color="auto"/>
            </w:tcBorders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  <w:rPr>
                <w:b/>
              </w:rPr>
            </w:pPr>
            <w:r w:rsidRPr="00F24844">
              <w:rPr>
                <w:b/>
              </w:rPr>
              <w:t>Method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  <w:rPr>
                <w:b/>
              </w:rPr>
            </w:pPr>
            <w:r w:rsidRPr="00F24844">
              <w:rPr>
                <w:b/>
              </w:rPr>
              <w:t>Odds Ratio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  <w:rPr>
                <w:b/>
              </w:rPr>
            </w:pPr>
            <w:r w:rsidRPr="00F24844">
              <w:rPr>
                <w:b/>
              </w:rPr>
              <w:t>95% CI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  <w:rPr>
                <w:b/>
                <w:i/>
              </w:rPr>
            </w:pPr>
            <w:r w:rsidRPr="00F24844">
              <w:rPr>
                <w:b/>
                <w:i/>
              </w:rPr>
              <w:t>p</w:t>
            </w:r>
          </w:p>
        </w:tc>
      </w:tr>
      <w:tr w:rsidR="00D8334D" w:rsidRPr="00F24844" w:rsidTr="00A514FF">
        <w:trPr>
          <w:trHeight w:val="703"/>
          <w:jc w:val="center"/>
        </w:trPr>
        <w:tc>
          <w:tcPr>
            <w:tcW w:w="2248" w:type="dxa"/>
            <w:tcBorders>
              <w:top w:val="single" w:sz="4" w:space="0" w:color="auto"/>
            </w:tcBorders>
          </w:tcPr>
          <w:p w:rsidR="00D8334D" w:rsidRPr="00F24844" w:rsidRDefault="002E3E3E" w:rsidP="002E3E3E">
            <w:pPr>
              <w:spacing w:after="200" w:line="276" w:lineRule="auto"/>
              <w:ind w:firstLineChars="0" w:firstLine="0"/>
            </w:pPr>
            <w:r>
              <w:t>Ischemic stroke in age onset ≥</w:t>
            </w:r>
            <w:r w:rsidR="00D8334D" w:rsidRPr="00F24844">
              <w:t>50 years</w:t>
            </w:r>
            <w:bookmarkStart w:id="0" w:name="_GoBack"/>
            <w:bookmarkEnd w:id="0"/>
          </w:p>
        </w:tc>
        <w:tc>
          <w:tcPr>
            <w:tcW w:w="2427" w:type="dxa"/>
            <w:tcBorders>
              <w:top w:val="single" w:sz="4" w:space="0" w:color="auto"/>
            </w:tcBorders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IVW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0.95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0.70</w:t>
            </w:r>
            <w:r w:rsidR="002E3E3E">
              <w:t>–</w:t>
            </w:r>
            <w:r w:rsidRPr="00F24844">
              <w:t>1.27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0.72</w:t>
            </w:r>
          </w:p>
        </w:tc>
      </w:tr>
      <w:tr w:rsidR="00D8334D" w:rsidRPr="00F24844" w:rsidTr="00FF502B">
        <w:trPr>
          <w:trHeight w:val="737"/>
          <w:jc w:val="center"/>
        </w:trPr>
        <w:tc>
          <w:tcPr>
            <w:tcW w:w="2248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</w:p>
        </w:tc>
        <w:tc>
          <w:tcPr>
            <w:tcW w:w="2427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Wald ratio estimate for rs10417628 (</w:t>
            </w:r>
            <w:r w:rsidRPr="00F24844">
              <w:rPr>
                <w:i/>
              </w:rPr>
              <w:t>AMH</w:t>
            </w:r>
            <w:r w:rsidRPr="00F24844">
              <w:t>)</w:t>
            </w:r>
          </w:p>
        </w:tc>
        <w:tc>
          <w:tcPr>
            <w:tcW w:w="1477" w:type="dxa"/>
          </w:tcPr>
          <w:p w:rsidR="00D8334D" w:rsidRPr="00F24844" w:rsidRDefault="00D8334D" w:rsidP="0005494A">
            <w:pPr>
              <w:spacing w:after="200" w:line="276" w:lineRule="auto"/>
              <w:ind w:firstLineChars="0" w:firstLine="0"/>
            </w:pPr>
            <w:r w:rsidRPr="00F24844">
              <w:t>0.87</w:t>
            </w:r>
          </w:p>
        </w:tc>
        <w:tc>
          <w:tcPr>
            <w:tcW w:w="1214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0.52</w:t>
            </w:r>
            <w:r w:rsidR="002E3E3E">
              <w:t>–</w:t>
            </w:r>
            <w:r w:rsidRPr="00F24844">
              <w:t>1.46</w:t>
            </w:r>
          </w:p>
        </w:tc>
        <w:tc>
          <w:tcPr>
            <w:tcW w:w="993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0.60</w:t>
            </w:r>
          </w:p>
        </w:tc>
      </w:tr>
      <w:tr w:rsidR="00D8334D" w:rsidRPr="00F24844" w:rsidTr="00FF502B">
        <w:trPr>
          <w:trHeight w:val="737"/>
          <w:jc w:val="center"/>
        </w:trPr>
        <w:tc>
          <w:tcPr>
            <w:tcW w:w="2248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</w:p>
        </w:tc>
        <w:tc>
          <w:tcPr>
            <w:tcW w:w="2427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Wald ratio estimate for rs13009019 (</w:t>
            </w:r>
            <w:r w:rsidRPr="00F24844">
              <w:rPr>
                <w:i/>
              </w:rPr>
              <w:t>TEX41</w:t>
            </w:r>
            <w:r w:rsidRPr="00F24844">
              <w:t>)</w:t>
            </w:r>
          </w:p>
        </w:tc>
        <w:tc>
          <w:tcPr>
            <w:tcW w:w="1477" w:type="dxa"/>
          </w:tcPr>
          <w:p w:rsidR="00D8334D" w:rsidRPr="00F24844" w:rsidRDefault="00D8334D" w:rsidP="0005494A">
            <w:pPr>
              <w:spacing w:after="200" w:line="276" w:lineRule="auto"/>
              <w:ind w:firstLineChars="0" w:firstLine="0"/>
            </w:pPr>
            <w:r w:rsidRPr="00F24844">
              <w:t>0.86</w:t>
            </w:r>
          </w:p>
        </w:tc>
        <w:tc>
          <w:tcPr>
            <w:tcW w:w="1214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0.48</w:t>
            </w:r>
            <w:r w:rsidR="002E3E3E">
              <w:t>–</w:t>
            </w:r>
            <w:r w:rsidRPr="00F24844">
              <w:t>1.54</w:t>
            </w:r>
          </w:p>
        </w:tc>
        <w:tc>
          <w:tcPr>
            <w:tcW w:w="993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0.61</w:t>
            </w:r>
          </w:p>
        </w:tc>
      </w:tr>
      <w:tr w:rsidR="00D8334D" w:rsidRPr="00F24844" w:rsidTr="00FF502B">
        <w:trPr>
          <w:trHeight w:val="737"/>
          <w:jc w:val="center"/>
        </w:trPr>
        <w:tc>
          <w:tcPr>
            <w:tcW w:w="2248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</w:p>
        </w:tc>
        <w:tc>
          <w:tcPr>
            <w:tcW w:w="2427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Wald ratio estimate for rs16991615 (</w:t>
            </w:r>
            <w:r w:rsidRPr="00F24844">
              <w:rPr>
                <w:i/>
              </w:rPr>
              <w:t>MCM8</w:t>
            </w:r>
            <w:r w:rsidRPr="00F24844">
              <w:t>)</w:t>
            </w:r>
          </w:p>
        </w:tc>
        <w:tc>
          <w:tcPr>
            <w:tcW w:w="1477" w:type="dxa"/>
          </w:tcPr>
          <w:p w:rsidR="00D8334D" w:rsidRPr="00F24844" w:rsidRDefault="00D8334D" w:rsidP="0005494A">
            <w:pPr>
              <w:spacing w:after="200" w:line="276" w:lineRule="auto"/>
              <w:ind w:firstLineChars="0" w:firstLine="0"/>
            </w:pPr>
            <w:r w:rsidRPr="00F24844">
              <w:t>1.14</w:t>
            </w:r>
          </w:p>
        </w:tc>
        <w:tc>
          <w:tcPr>
            <w:tcW w:w="1214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0.60</w:t>
            </w:r>
            <w:r w:rsidR="002E3E3E">
              <w:t>–</w:t>
            </w:r>
            <w:r w:rsidRPr="00F24844">
              <w:t>2.17</w:t>
            </w:r>
          </w:p>
        </w:tc>
        <w:tc>
          <w:tcPr>
            <w:tcW w:w="993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0.70</w:t>
            </w:r>
          </w:p>
        </w:tc>
      </w:tr>
      <w:tr w:rsidR="00D8334D" w:rsidRPr="00F24844" w:rsidTr="00FF502B">
        <w:trPr>
          <w:trHeight w:val="737"/>
          <w:jc w:val="center"/>
        </w:trPr>
        <w:tc>
          <w:tcPr>
            <w:tcW w:w="2248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</w:p>
        </w:tc>
        <w:tc>
          <w:tcPr>
            <w:tcW w:w="2427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Wald ratio estimate for rs11683493 (</w:t>
            </w:r>
            <w:r w:rsidRPr="00F24844">
              <w:rPr>
                <w:i/>
              </w:rPr>
              <w:t>CDCA7</w:t>
            </w:r>
            <w:r w:rsidRPr="00F24844">
              <w:t>)</w:t>
            </w:r>
          </w:p>
        </w:tc>
        <w:tc>
          <w:tcPr>
            <w:tcW w:w="1477" w:type="dxa"/>
          </w:tcPr>
          <w:p w:rsidR="00D8334D" w:rsidRPr="00F24844" w:rsidRDefault="00D8334D" w:rsidP="0005494A">
            <w:pPr>
              <w:spacing w:after="200" w:line="276" w:lineRule="auto"/>
              <w:ind w:firstLineChars="0" w:firstLine="0"/>
            </w:pPr>
            <w:r w:rsidRPr="00F24844">
              <w:t>1.01</w:t>
            </w:r>
          </w:p>
        </w:tc>
        <w:tc>
          <w:tcPr>
            <w:tcW w:w="1214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0.53</w:t>
            </w:r>
            <w:r w:rsidR="002E3E3E">
              <w:t>–</w:t>
            </w:r>
            <w:r w:rsidRPr="00F24844">
              <w:t>1.96</w:t>
            </w:r>
          </w:p>
        </w:tc>
        <w:tc>
          <w:tcPr>
            <w:tcW w:w="993" w:type="dxa"/>
          </w:tcPr>
          <w:p w:rsidR="00D8334D" w:rsidRPr="00F24844" w:rsidRDefault="00D8334D" w:rsidP="002E3E3E">
            <w:pPr>
              <w:spacing w:after="200" w:line="276" w:lineRule="auto"/>
              <w:ind w:firstLineChars="0" w:firstLine="0"/>
            </w:pPr>
            <w:r w:rsidRPr="00F24844">
              <w:t>0.97</w:t>
            </w:r>
          </w:p>
        </w:tc>
      </w:tr>
    </w:tbl>
    <w:p w:rsidR="00D8334D" w:rsidRPr="00F24844" w:rsidRDefault="00D8334D" w:rsidP="0005494A">
      <w:pPr>
        <w:pStyle w:val="ab"/>
      </w:pPr>
      <w:r w:rsidRPr="00F24844">
        <w:t>AMH, anti-Müllerian hormone; IVW, inverse variance weighted</w:t>
      </w:r>
      <w:r w:rsidR="0005494A">
        <w:t>.</w:t>
      </w:r>
    </w:p>
    <w:p w:rsidR="008D6406" w:rsidRPr="00F24844" w:rsidRDefault="00D8334D" w:rsidP="0005494A">
      <w:pPr>
        <w:pStyle w:val="ab"/>
      </w:pPr>
      <w:r w:rsidRPr="00F24844">
        <w:t>Odds ratio and 95%</w:t>
      </w:r>
      <w:r w:rsidR="0005494A">
        <w:t xml:space="preserve"> </w:t>
      </w:r>
      <w:r w:rsidRPr="00F24844">
        <w:t>CI are per 1 unit increase in inverse normally transformed AMH</w:t>
      </w:r>
      <w:r w:rsidR="0005494A">
        <w:t>.</w:t>
      </w:r>
    </w:p>
    <w:sectPr w:rsidR="008D6406" w:rsidRPr="00F24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6D1" w:rsidRDefault="007346D1" w:rsidP="002E3E3E">
      <w:pPr>
        <w:ind w:firstLine="420"/>
      </w:pPr>
      <w:r>
        <w:separator/>
      </w:r>
    </w:p>
  </w:endnote>
  <w:endnote w:type="continuationSeparator" w:id="0">
    <w:p w:rsidR="007346D1" w:rsidRDefault="007346D1" w:rsidP="002E3E3E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6D1" w:rsidRDefault="007346D1" w:rsidP="002E3E3E">
      <w:pPr>
        <w:ind w:firstLine="420"/>
      </w:pPr>
      <w:r>
        <w:separator/>
      </w:r>
    </w:p>
  </w:footnote>
  <w:footnote w:type="continuationSeparator" w:id="0">
    <w:p w:rsidR="007346D1" w:rsidRDefault="007346D1" w:rsidP="002E3E3E"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61A69"/>
    <w:multiLevelType w:val="multilevel"/>
    <w:tmpl w:val="0E7AA674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4D"/>
    <w:rsid w:val="0005494A"/>
    <w:rsid w:val="00062DD2"/>
    <w:rsid w:val="002762A9"/>
    <w:rsid w:val="002975D6"/>
    <w:rsid w:val="002E3E3E"/>
    <w:rsid w:val="003F2CDA"/>
    <w:rsid w:val="006F142D"/>
    <w:rsid w:val="007346D1"/>
    <w:rsid w:val="008D6406"/>
    <w:rsid w:val="00A514FF"/>
    <w:rsid w:val="00D8334D"/>
    <w:rsid w:val="00F012C1"/>
    <w:rsid w:val="00F24844"/>
    <w:rsid w:val="00FC79BE"/>
    <w:rsid w:val="00FF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0B60E5-9B19-46DA-BC23-222A9FCA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E3E"/>
    <w:pPr>
      <w:widowControl w:val="0"/>
      <w:spacing w:after="0" w:line="240" w:lineRule="auto"/>
      <w:ind w:firstLineChars="200" w:firstLine="200"/>
      <w:jc w:val="both"/>
    </w:pPr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2E3E3E"/>
    <w:pPr>
      <w:autoSpaceDE w:val="0"/>
      <w:autoSpaceDN w:val="0"/>
      <w:adjustRightInd w:val="0"/>
      <w:spacing w:beforeLines="100" w:before="312" w:afterLines="100" w:after="312"/>
      <w:ind w:left="431" w:firstLineChars="0" w:hanging="431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2E3E3E"/>
    <w:pPr>
      <w:keepNext/>
      <w:keepLines/>
      <w:spacing w:beforeLines="50" w:before="156" w:afterLines="50" w:after="156"/>
      <w:ind w:left="578" w:firstLineChars="0" w:hanging="578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2E3E3E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2E3E3E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3E3E"/>
    <w:pPr>
      <w:keepNext/>
      <w:keepLines/>
      <w:numPr>
        <w:ilvl w:val="5"/>
        <w:numId w:val="4"/>
      </w:numPr>
      <w:spacing w:before="240" w:after="64" w:line="320" w:lineRule="auto"/>
      <w:ind w:firstLineChars="0" w:firstLine="0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3E3E"/>
    <w:pPr>
      <w:keepNext/>
      <w:keepLines/>
      <w:numPr>
        <w:ilvl w:val="6"/>
        <w:numId w:val="4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E3E"/>
    <w:pPr>
      <w:keepNext/>
      <w:keepLines/>
      <w:numPr>
        <w:ilvl w:val="7"/>
        <w:numId w:val="4"/>
      </w:numPr>
      <w:spacing w:before="240" w:after="64" w:line="320" w:lineRule="auto"/>
      <w:ind w:firstLineChars="0" w:firstLine="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E3E"/>
    <w:pPr>
      <w:keepNext/>
      <w:keepLines/>
      <w:numPr>
        <w:ilvl w:val="8"/>
        <w:numId w:val="4"/>
      </w:numPr>
      <w:spacing w:before="240" w:after="64" w:line="320" w:lineRule="auto"/>
      <w:ind w:firstLineChars="0"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406"/>
    <w:pPr>
      <w:spacing w:after="0" w:line="240" w:lineRule="auto"/>
    </w:pPr>
  </w:style>
  <w:style w:type="table" w:styleId="a4">
    <w:name w:val="Table Grid"/>
    <w:basedOn w:val="a1"/>
    <w:uiPriority w:val="59"/>
    <w:rsid w:val="00D8334D"/>
    <w:pPr>
      <w:spacing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E3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2E3E3E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a7">
    <w:name w:val="footer"/>
    <w:basedOn w:val="a"/>
    <w:link w:val="a8"/>
    <w:uiPriority w:val="99"/>
    <w:unhideWhenUsed/>
    <w:rsid w:val="002E3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2E3E3E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customStyle="1" w:styleId="Abstract">
    <w:name w:val="Abstract"/>
    <w:basedOn w:val="a"/>
    <w:autoRedefine/>
    <w:qFormat/>
    <w:rsid w:val="002E3E3E"/>
    <w:pPr>
      <w:ind w:firstLineChars="0" w:firstLine="0"/>
    </w:pPr>
    <w:rPr>
      <w:b/>
      <w:noProof/>
      <w:sz w:val="24"/>
      <w:szCs w:val="24"/>
    </w:rPr>
  </w:style>
  <w:style w:type="paragraph" w:customStyle="1" w:styleId="Keywords">
    <w:name w:val="Keywords"/>
    <w:basedOn w:val="a"/>
    <w:autoRedefine/>
    <w:qFormat/>
    <w:rsid w:val="002E3E3E"/>
    <w:pPr>
      <w:ind w:firstLineChars="0" w:firstLine="0"/>
    </w:pPr>
    <w:rPr>
      <w:rFonts w:eastAsia="宋体"/>
      <w:b/>
      <w:noProof/>
    </w:rPr>
  </w:style>
  <w:style w:type="paragraph" w:customStyle="1" w:styleId="References">
    <w:name w:val="References"/>
    <w:basedOn w:val="a"/>
    <w:link w:val="References0"/>
    <w:autoRedefine/>
    <w:qFormat/>
    <w:rsid w:val="002E3E3E"/>
    <w:pPr>
      <w:autoSpaceDE w:val="0"/>
      <w:autoSpaceDN w:val="0"/>
      <w:adjustRightInd w:val="0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a0"/>
    <w:link w:val="References"/>
    <w:rsid w:val="002E3E3E"/>
    <w:rPr>
      <w:rFonts w:ascii="Times New Roman" w:eastAsia="Times New Roman" w:hAnsi="Times New Roman" w:cs="Times New Roman"/>
      <w:b/>
      <w:sz w:val="24"/>
      <w:szCs w:val="24"/>
      <w:lang w:val="en-US" w:eastAsia="zh-CN"/>
    </w:rPr>
  </w:style>
  <w:style w:type="paragraph" w:customStyle="1" w:styleId="TableParagraph">
    <w:name w:val="Table Paragraph"/>
    <w:basedOn w:val="a"/>
    <w:uiPriority w:val="1"/>
    <w:qFormat/>
    <w:rsid w:val="002E3E3E"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paragraph" w:customStyle="1" w:styleId="a9">
    <w:name w:val="版权信息"/>
    <w:basedOn w:val="a"/>
    <w:autoRedefine/>
    <w:qFormat/>
    <w:rsid w:val="002E3E3E"/>
    <w:pPr>
      <w:ind w:firstLineChars="0" w:firstLine="0"/>
    </w:pPr>
  </w:style>
  <w:style w:type="character" w:customStyle="1" w:styleId="10">
    <w:name w:val="标题 1 字符"/>
    <w:aliases w:val="一级标题 字符"/>
    <w:link w:val="1"/>
    <w:uiPriority w:val="1"/>
    <w:rsid w:val="002E3E3E"/>
    <w:rPr>
      <w:rFonts w:ascii="Times New Roman" w:eastAsia="Times New Roman" w:hAnsi="Times New Roman" w:cs="Book Antiqua"/>
      <w:b/>
      <w:bCs/>
      <w:sz w:val="24"/>
      <w:szCs w:val="20"/>
      <w:lang w:val="en-US" w:eastAsia="zh-CN"/>
    </w:rPr>
  </w:style>
  <w:style w:type="character" w:customStyle="1" w:styleId="20">
    <w:name w:val="标题 2 字符"/>
    <w:aliases w:val="二级标题 字符"/>
    <w:link w:val="2"/>
    <w:uiPriority w:val="9"/>
    <w:rsid w:val="002E3E3E"/>
    <w:rPr>
      <w:rFonts w:ascii="Times New Roman" w:eastAsia="Times New Roman" w:hAnsi="Times New Roman" w:cs="Times New Roman"/>
      <w:b/>
      <w:bCs/>
      <w:i/>
      <w:kern w:val="2"/>
      <w:szCs w:val="21"/>
      <w:lang w:val="en-US" w:eastAsia="zh-CN"/>
    </w:rPr>
  </w:style>
  <w:style w:type="character" w:customStyle="1" w:styleId="30">
    <w:name w:val="标题 3 字符"/>
    <w:aliases w:val="三级标题 字符"/>
    <w:link w:val="3"/>
    <w:uiPriority w:val="9"/>
    <w:rsid w:val="002E3E3E"/>
    <w:rPr>
      <w:rFonts w:ascii="Times New Roman" w:eastAsia="Times New Roman" w:hAnsi="Times New Roman" w:cs="Times New Roman"/>
      <w:bCs/>
      <w:i/>
      <w:kern w:val="2"/>
      <w:szCs w:val="32"/>
      <w:lang w:val="en-US" w:eastAsia="zh-CN"/>
    </w:rPr>
  </w:style>
  <w:style w:type="character" w:customStyle="1" w:styleId="40">
    <w:name w:val="标题 4 字符"/>
    <w:link w:val="4"/>
    <w:uiPriority w:val="9"/>
    <w:rsid w:val="002E3E3E"/>
    <w:rPr>
      <w:rFonts w:ascii="Calibri Light" w:eastAsia="NimbusRomNo9L" w:hAnsi="Calibri Light" w:cs="NimbusRomNo9L"/>
      <w:b/>
      <w:bCs/>
      <w:sz w:val="28"/>
      <w:szCs w:val="28"/>
      <w:lang w:val="en-US" w:eastAsia="zh-CN"/>
    </w:rPr>
  </w:style>
  <w:style w:type="character" w:customStyle="1" w:styleId="60">
    <w:name w:val="标题 6 字符"/>
    <w:basedOn w:val="a0"/>
    <w:link w:val="6"/>
    <w:uiPriority w:val="9"/>
    <w:semiHidden/>
    <w:rsid w:val="002E3E3E"/>
    <w:rPr>
      <w:rFonts w:asciiTheme="majorHAnsi" w:eastAsiaTheme="majorEastAsia" w:hAnsiTheme="majorHAnsi" w:cstheme="majorBidi"/>
      <w:b/>
      <w:bCs/>
      <w:kern w:val="2"/>
      <w:sz w:val="24"/>
      <w:szCs w:val="24"/>
      <w:lang w:val="en-US" w:eastAsia="zh-CN"/>
    </w:rPr>
  </w:style>
  <w:style w:type="character" w:customStyle="1" w:styleId="70">
    <w:name w:val="标题 7 字符"/>
    <w:basedOn w:val="a0"/>
    <w:link w:val="7"/>
    <w:uiPriority w:val="9"/>
    <w:semiHidden/>
    <w:rsid w:val="002E3E3E"/>
    <w:rPr>
      <w:rFonts w:ascii="Times New Roman" w:eastAsia="Times New Roman" w:hAnsi="Times New Roman" w:cs="Times New Roman"/>
      <w:b/>
      <w:bCs/>
      <w:kern w:val="2"/>
      <w:sz w:val="24"/>
      <w:szCs w:val="24"/>
      <w:lang w:val="en-US" w:eastAsia="zh-CN"/>
    </w:rPr>
  </w:style>
  <w:style w:type="character" w:customStyle="1" w:styleId="80">
    <w:name w:val="标题 8 字符"/>
    <w:basedOn w:val="a0"/>
    <w:link w:val="8"/>
    <w:uiPriority w:val="9"/>
    <w:semiHidden/>
    <w:rsid w:val="002E3E3E"/>
    <w:rPr>
      <w:rFonts w:asciiTheme="majorHAnsi" w:eastAsiaTheme="majorEastAsia" w:hAnsiTheme="majorHAnsi" w:cstheme="majorBidi"/>
      <w:kern w:val="2"/>
      <w:sz w:val="24"/>
      <w:szCs w:val="24"/>
      <w:lang w:val="en-US" w:eastAsia="zh-CN"/>
    </w:rPr>
  </w:style>
  <w:style w:type="character" w:customStyle="1" w:styleId="90">
    <w:name w:val="标题 9 字符"/>
    <w:basedOn w:val="a0"/>
    <w:link w:val="9"/>
    <w:uiPriority w:val="9"/>
    <w:semiHidden/>
    <w:rsid w:val="002E3E3E"/>
    <w:rPr>
      <w:rFonts w:asciiTheme="majorHAnsi" w:eastAsiaTheme="majorEastAsia" w:hAnsiTheme="majorHAnsi" w:cstheme="majorBidi"/>
      <w:kern w:val="2"/>
      <w:sz w:val="21"/>
      <w:szCs w:val="21"/>
      <w:lang w:val="en-US" w:eastAsia="zh-CN"/>
    </w:rPr>
  </w:style>
  <w:style w:type="paragraph" w:customStyle="1" w:styleId="aa">
    <w:name w:val="表题"/>
    <w:basedOn w:val="a"/>
    <w:autoRedefine/>
    <w:qFormat/>
    <w:rsid w:val="002E3E3E"/>
    <w:pPr>
      <w:spacing w:beforeLines="100" w:before="100" w:afterLines="100" w:after="100" w:line="360" w:lineRule="auto"/>
      <w:ind w:leftChars="200" w:left="200" w:firstLineChars="0" w:firstLine="0"/>
      <w:jc w:val="center"/>
    </w:pPr>
    <w:rPr>
      <w:b/>
    </w:rPr>
  </w:style>
  <w:style w:type="paragraph" w:customStyle="1" w:styleId="ab">
    <w:name w:val="表注"/>
    <w:basedOn w:val="a"/>
    <w:autoRedefine/>
    <w:qFormat/>
    <w:rsid w:val="002E3E3E"/>
    <w:pPr>
      <w:snapToGrid w:val="0"/>
      <w:ind w:firstLineChars="0" w:firstLine="0"/>
    </w:pPr>
  </w:style>
  <w:style w:type="paragraph" w:customStyle="1" w:styleId="ac">
    <w:name w:val="参考文献"/>
    <w:basedOn w:val="a"/>
    <w:autoRedefine/>
    <w:qFormat/>
    <w:rsid w:val="002E3E3E"/>
    <w:pPr>
      <w:ind w:left="360" w:hangingChars="200" w:hanging="360"/>
    </w:pPr>
    <w:rPr>
      <w:rFonts w:eastAsiaTheme="minorEastAsia" w:cstheme="minorBidi"/>
      <w:sz w:val="18"/>
      <w:szCs w:val="24"/>
    </w:rPr>
  </w:style>
  <w:style w:type="character" w:styleId="ad">
    <w:name w:val="Hyperlink"/>
    <w:uiPriority w:val="99"/>
    <w:unhideWhenUsed/>
    <w:rsid w:val="002E3E3E"/>
    <w:rPr>
      <w:color w:val="0563C1"/>
      <w:u w:val="single"/>
    </w:rPr>
  </w:style>
  <w:style w:type="paragraph" w:customStyle="1" w:styleId="ae">
    <w:name w:val="稿件类型"/>
    <w:basedOn w:val="a"/>
    <w:autoRedefine/>
    <w:qFormat/>
    <w:rsid w:val="002E3E3E"/>
    <w:pPr>
      <w:ind w:firstLineChars="0" w:firstLine="0"/>
      <w:jc w:val="left"/>
    </w:pPr>
    <w:rPr>
      <w:rFonts w:eastAsia="宋体" w:cstheme="minorBidi"/>
      <w:sz w:val="20"/>
    </w:rPr>
  </w:style>
  <w:style w:type="paragraph" w:customStyle="1" w:styleId="af">
    <w:name w:val="关键词"/>
    <w:basedOn w:val="Keywords"/>
    <w:autoRedefine/>
    <w:qFormat/>
    <w:rsid w:val="002E3E3E"/>
    <w:rPr>
      <w:rFonts w:eastAsia="Times New Roman"/>
      <w:b w:val="0"/>
    </w:rPr>
  </w:style>
  <w:style w:type="character" w:styleId="af0">
    <w:name w:val="line number"/>
    <w:uiPriority w:val="99"/>
    <w:semiHidden/>
    <w:unhideWhenUsed/>
    <w:rsid w:val="002E3E3E"/>
  </w:style>
  <w:style w:type="paragraph" w:customStyle="1" w:styleId="af1">
    <w:name w:val="机构信息"/>
    <w:basedOn w:val="a"/>
    <w:link w:val="af2"/>
    <w:autoRedefine/>
    <w:qFormat/>
    <w:rsid w:val="002E3E3E"/>
    <w:pPr>
      <w:ind w:firstLineChars="0" w:firstLine="0"/>
    </w:pPr>
    <w:rPr>
      <w:rFonts w:cstheme="minorBidi"/>
      <w:i/>
    </w:rPr>
  </w:style>
  <w:style w:type="character" w:customStyle="1" w:styleId="af2">
    <w:name w:val="机构信息 字符"/>
    <w:link w:val="af1"/>
    <w:rsid w:val="002E3E3E"/>
    <w:rPr>
      <w:rFonts w:ascii="Times New Roman" w:eastAsia="Times New Roman" w:hAnsi="Times New Roman"/>
      <w:i/>
      <w:kern w:val="2"/>
      <w:sz w:val="21"/>
      <w:szCs w:val="21"/>
      <w:lang w:val="en-US" w:eastAsia="zh-CN"/>
    </w:rPr>
  </w:style>
  <w:style w:type="paragraph" w:customStyle="1" w:styleId="af3">
    <w:name w:val="接收日期"/>
    <w:basedOn w:val="a"/>
    <w:autoRedefine/>
    <w:qFormat/>
    <w:rsid w:val="002E3E3E"/>
    <w:pPr>
      <w:ind w:firstLineChars="0" w:firstLine="0"/>
    </w:pPr>
  </w:style>
  <w:style w:type="paragraph" w:styleId="af4">
    <w:name w:val="List Paragraph"/>
    <w:basedOn w:val="a"/>
    <w:uiPriority w:val="1"/>
    <w:qFormat/>
    <w:rsid w:val="002E3E3E"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E3E3E"/>
    <w:rPr>
      <w:sz w:val="18"/>
      <w:szCs w:val="18"/>
    </w:rPr>
  </w:style>
  <w:style w:type="character" w:customStyle="1" w:styleId="af6">
    <w:name w:val="批注框文本 字符"/>
    <w:basedOn w:val="a0"/>
    <w:link w:val="af5"/>
    <w:uiPriority w:val="99"/>
    <w:semiHidden/>
    <w:rsid w:val="002E3E3E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af7">
    <w:name w:val="caption"/>
    <w:basedOn w:val="a"/>
    <w:next w:val="a"/>
    <w:autoRedefine/>
    <w:uiPriority w:val="35"/>
    <w:unhideWhenUsed/>
    <w:qFormat/>
    <w:rsid w:val="002E3E3E"/>
    <w:pPr>
      <w:ind w:firstLineChars="0" w:firstLine="0"/>
    </w:pPr>
  </w:style>
  <w:style w:type="paragraph" w:customStyle="1" w:styleId="af8">
    <w:name w:val="通讯作者"/>
    <w:basedOn w:val="a"/>
    <w:autoRedefine/>
    <w:qFormat/>
    <w:rsid w:val="002E3E3E"/>
    <w:pPr>
      <w:ind w:firstLineChars="0" w:firstLine="0"/>
    </w:pPr>
  </w:style>
  <w:style w:type="paragraph" w:customStyle="1" w:styleId="af9">
    <w:name w:val="图注"/>
    <w:basedOn w:val="a"/>
    <w:autoRedefine/>
    <w:qFormat/>
    <w:rsid w:val="002E3E3E"/>
    <w:pPr>
      <w:ind w:firstLineChars="0" w:firstLine="0"/>
    </w:pPr>
  </w:style>
  <w:style w:type="table" w:customStyle="1" w:styleId="5-11">
    <w:name w:val="网格表 5 深色 - 着色 11"/>
    <w:basedOn w:val="a1"/>
    <w:uiPriority w:val="50"/>
    <w:qFormat/>
    <w:rsid w:val="002E3E3E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a1"/>
    <w:uiPriority w:val="50"/>
    <w:qFormat/>
    <w:rsid w:val="002E3E3E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a1"/>
    <w:uiPriority w:val="50"/>
    <w:qFormat/>
    <w:rsid w:val="002E3E3E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afa">
    <w:name w:val="文章标题"/>
    <w:basedOn w:val="a"/>
    <w:link w:val="afb"/>
    <w:autoRedefine/>
    <w:qFormat/>
    <w:rsid w:val="002E3E3E"/>
    <w:pPr>
      <w:kinsoku w:val="0"/>
      <w:overflowPunct w:val="0"/>
      <w:autoSpaceDE w:val="0"/>
      <w:autoSpaceDN w:val="0"/>
      <w:adjustRightInd w:val="0"/>
      <w:ind w:firstLineChars="0" w:firstLine="0"/>
    </w:pPr>
    <w:rPr>
      <w:rFonts w:cstheme="minorBidi"/>
      <w:b/>
      <w:bCs/>
      <w:spacing w:val="-8"/>
      <w:sz w:val="36"/>
      <w:szCs w:val="36"/>
    </w:rPr>
  </w:style>
  <w:style w:type="character" w:customStyle="1" w:styleId="afb">
    <w:name w:val="文章标题 字符"/>
    <w:link w:val="afa"/>
    <w:rsid w:val="002E3E3E"/>
    <w:rPr>
      <w:rFonts w:ascii="Times New Roman" w:eastAsia="Times New Roman" w:hAnsi="Times New Roman"/>
      <w:b/>
      <w:bCs/>
      <w:spacing w:val="-8"/>
      <w:kern w:val="2"/>
      <w:sz w:val="36"/>
      <w:szCs w:val="36"/>
      <w:lang w:val="en-US" w:eastAsia="zh-CN"/>
    </w:rPr>
  </w:style>
  <w:style w:type="numbering" w:customStyle="1" w:styleId="11">
    <w:name w:val="无列表1"/>
    <w:next w:val="a2"/>
    <w:uiPriority w:val="99"/>
    <w:semiHidden/>
    <w:unhideWhenUsed/>
    <w:rsid w:val="002E3E3E"/>
  </w:style>
  <w:style w:type="paragraph" w:customStyle="1" w:styleId="afc">
    <w:name w:val="摘要"/>
    <w:basedOn w:val="Abstract"/>
    <w:autoRedefine/>
    <w:qFormat/>
    <w:rsid w:val="002E3E3E"/>
    <w:rPr>
      <w:b w:val="0"/>
      <w:sz w:val="21"/>
      <w:szCs w:val="21"/>
    </w:rPr>
  </w:style>
  <w:style w:type="paragraph" w:styleId="afd">
    <w:name w:val="Body Text"/>
    <w:basedOn w:val="a"/>
    <w:link w:val="afe"/>
    <w:autoRedefine/>
    <w:uiPriority w:val="1"/>
    <w:qFormat/>
    <w:rsid w:val="002E3E3E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e">
    <w:name w:val="正文文本 字符"/>
    <w:link w:val="afd"/>
    <w:uiPriority w:val="1"/>
    <w:rsid w:val="002E3E3E"/>
    <w:rPr>
      <w:rFonts w:ascii="Times New Roman" w:eastAsia="Times New Roman" w:hAnsi="Times New Roman" w:cs="Times New Roman"/>
      <w:sz w:val="21"/>
      <w:szCs w:val="21"/>
      <w:lang w:val="en-US" w:eastAsia="zh-CN"/>
    </w:rPr>
  </w:style>
  <w:style w:type="paragraph" w:customStyle="1" w:styleId="aff">
    <w:name w:val="致谢部分"/>
    <w:basedOn w:val="afd"/>
    <w:link w:val="aff0"/>
    <w:autoRedefine/>
    <w:qFormat/>
    <w:rsid w:val="002E3E3E"/>
    <w:pPr>
      <w:ind w:firstLineChars="0" w:firstLine="0"/>
    </w:pPr>
    <w:rPr>
      <w:b/>
      <w:sz w:val="24"/>
      <w:szCs w:val="24"/>
    </w:rPr>
  </w:style>
  <w:style w:type="character" w:customStyle="1" w:styleId="aff0">
    <w:name w:val="致谢部分 字符"/>
    <w:basedOn w:val="afe"/>
    <w:link w:val="aff"/>
    <w:rsid w:val="002E3E3E"/>
    <w:rPr>
      <w:rFonts w:ascii="Times New Roman" w:eastAsia="Times New Roman" w:hAnsi="Times New Roman" w:cs="Times New Roman"/>
      <w:b/>
      <w:sz w:val="24"/>
      <w:szCs w:val="24"/>
      <w:lang w:val="en-US" w:eastAsia="zh-CN"/>
    </w:rPr>
  </w:style>
  <w:style w:type="paragraph" w:customStyle="1" w:styleId="aff1">
    <w:name w:val="作者信息"/>
    <w:basedOn w:val="a"/>
    <w:autoRedefine/>
    <w:qFormat/>
    <w:rsid w:val="002E3E3E"/>
    <w:pPr>
      <w:ind w:firstLineChars="0" w:firstLine="0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1532F-0444-45CC-8EEE-48F0E758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Utrecht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Verdiesen-2, R.M.G.</dc:creator>
  <cp:keywords/>
  <dc:description/>
  <cp:lastModifiedBy>Rui</cp:lastModifiedBy>
  <cp:revision>7</cp:revision>
  <dcterms:created xsi:type="dcterms:W3CDTF">2022-03-18T12:56:00Z</dcterms:created>
  <dcterms:modified xsi:type="dcterms:W3CDTF">2022-06-30T00:52:00Z</dcterms:modified>
</cp:coreProperties>
</file>